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Default="00392889" w:rsidP="00392889">
      <w:pPr>
        <w:pStyle w:val="Titolo1"/>
        <w:numPr>
          <w:ilvl w:val="0"/>
          <w:numId w:val="0"/>
        </w:numPr>
        <w:ind w:left="426"/>
        <w:jc w:val="center"/>
      </w:pPr>
      <w:bookmarkStart w:id="0" w:name="_Toc439161643"/>
      <w:bookmarkStart w:id="1" w:name="_Toc393181301"/>
      <w:r>
        <w:t>Allegato</w:t>
      </w:r>
      <w:r w:rsidR="00D90433">
        <w:t xml:space="preserve"> </w:t>
      </w:r>
      <w:proofErr w:type="gramStart"/>
      <w:r w:rsidR="00D90433">
        <w:t>01</w:t>
      </w:r>
      <w:proofErr w:type="gramEnd"/>
    </w:p>
    <w:p w:rsidR="00392889" w:rsidRPr="00392889" w:rsidRDefault="00392889" w:rsidP="00392889"/>
    <w:p w:rsidR="001D78DF" w:rsidRDefault="001D78DF" w:rsidP="00392889">
      <w:pPr>
        <w:pStyle w:val="Titolo1"/>
        <w:numPr>
          <w:ilvl w:val="0"/>
          <w:numId w:val="0"/>
        </w:numPr>
        <w:ind w:left="426"/>
      </w:pPr>
      <w:r>
        <w:t xml:space="preserve">Caratteristiche dei diversi livelli di qualità </w:t>
      </w:r>
      <w:proofErr w:type="gramStart"/>
      <w:r>
        <w:t>dell’</w:t>
      </w:r>
      <w:proofErr w:type="gramEnd"/>
      <w:r>
        <w:t>assistenza infermieristica.</w:t>
      </w:r>
      <w:bookmarkEnd w:id="0"/>
      <w:r>
        <w:t xml:space="preserve"> </w:t>
      </w:r>
    </w:p>
    <w:p w:rsidR="001D78DF" w:rsidRDefault="001D78DF" w:rsidP="001D78DF">
      <w:pPr>
        <w:ind w:left="426"/>
      </w:pPr>
      <w:r>
        <w:t xml:space="preserve">Scuola Superiore </w:t>
      </w:r>
      <w:proofErr w:type="gramStart"/>
      <w:r>
        <w:t xml:space="preserve">di </w:t>
      </w:r>
      <w:proofErr w:type="gramEnd"/>
      <w:r>
        <w:t>insegnamento infermieristico, Zurigo (</w:t>
      </w:r>
      <w:proofErr w:type="spellStart"/>
      <w:r>
        <w:t>Exchaquet</w:t>
      </w:r>
      <w:proofErr w:type="spellEnd"/>
      <w:r>
        <w:t xml:space="preserve"> NF e </w:t>
      </w:r>
      <w:proofErr w:type="spellStart"/>
      <w:r>
        <w:t>Zublin</w:t>
      </w:r>
      <w:proofErr w:type="spellEnd"/>
      <w:r>
        <w:t xml:space="preserve"> L, 1971).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127"/>
        <w:gridCol w:w="2138"/>
        <w:gridCol w:w="2012"/>
        <w:gridCol w:w="2012"/>
      </w:tblGrid>
      <w:tr w:rsidR="001D78DF" w:rsidTr="00332EDB">
        <w:trPr>
          <w:trHeight w:val="240"/>
        </w:trPr>
        <w:tc>
          <w:tcPr>
            <w:tcW w:w="1771" w:type="dxa"/>
            <w:vAlign w:val="center"/>
          </w:tcPr>
          <w:p w:rsidR="001D78DF" w:rsidRDefault="001D78DF" w:rsidP="00332EDB">
            <w:pPr>
              <w:pStyle w:val="Testonotaapidipagina"/>
              <w:jc w:val="center"/>
              <w:rPr>
                <w:b/>
              </w:rPr>
            </w:pPr>
            <w:r>
              <w:rPr>
                <w:b/>
              </w:rPr>
              <w:t>Livelli</w:t>
            </w:r>
          </w:p>
        </w:tc>
        <w:tc>
          <w:tcPr>
            <w:tcW w:w="2127" w:type="dxa"/>
            <w:vAlign w:val="center"/>
          </w:tcPr>
          <w:p w:rsidR="001D78DF" w:rsidRDefault="001D78DF" w:rsidP="00332EDB">
            <w:pPr>
              <w:pStyle w:val="Testonotaapidipagina"/>
              <w:jc w:val="center"/>
              <w:rPr>
                <w:b/>
              </w:rPr>
            </w:pPr>
            <w:r>
              <w:rPr>
                <w:b/>
              </w:rPr>
              <w:t>Assistenza ottimale personalizzata</w:t>
            </w:r>
          </w:p>
        </w:tc>
        <w:tc>
          <w:tcPr>
            <w:tcW w:w="2138" w:type="dxa"/>
            <w:vAlign w:val="center"/>
          </w:tcPr>
          <w:p w:rsidR="001D78DF" w:rsidRDefault="001D78DF" w:rsidP="00332EDB">
            <w:pPr>
              <w:pStyle w:val="Testonotaapidipagina"/>
              <w:jc w:val="center"/>
              <w:rPr>
                <w:b/>
              </w:rPr>
            </w:pPr>
            <w:r>
              <w:rPr>
                <w:b/>
              </w:rPr>
              <w:t>Assistenza adeguata ai bisogni</w:t>
            </w:r>
          </w:p>
        </w:tc>
        <w:tc>
          <w:tcPr>
            <w:tcW w:w="2012" w:type="dxa"/>
            <w:vAlign w:val="center"/>
          </w:tcPr>
          <w:p w:rsidR="001D78DF" w:rsidRDefault="001D78DF" w:rsidP="00332EDB">
            <w:pPr>
              <w:pStyle w:val="Testonotaapidipagina"/>
              <w:jc w:val="center"/>
              <w:rPr>
                <w:b/>
              </w:rPr>
            </w:pPr>
            <w:r>
              <w:rPr>
                <w:b/>
              </w:rPr>
              <w:t>Assistenza di routine</w:t>
            </w:r>
          </w:p>
        </w:tc>
        <w:tc>
          <w:tcPr>
            <w:tcW w:w="2012" w:type="dxa"/>
            <w:vAlign w:val="center"/>
          </w:tcPr>
          <w:p w:rsidR="001D78DF" w:rsidRDefault="001D78DF" w:rsidP="00332EDB">
            <w:pPr>
              <w:pStyle w:val="Testonotaapidipagina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Assistenza pericoloso perché nociva</w:t>
            </w:r>
            <w:proofErr w:type="gramEnd"/>
            <w:r>
              <w:rPr>
                <w:b/>
              </w:rPr>
              <w:t xml:space="preserve"> per il malato</w:t>
            </w:r>
          </w:p>
        </w:tc>
      </w:tr>
      <w:tr w:rsidR="001D78DF" w:rsidTr="00332EDB">
        <w:trPr>
          <w:trHeight w:val="240"/>
        </w:trPr>
        <w:tc>
          <w:tcPr>
            <w:tcW w:w="1771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Assistenza di base</w:t>
            </w:r>
          </w:p>
        </w:tc>
        <w:tc>
          <w:tcPr>
            <w:tcW w:w="2127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 xml:space="preserve">Il malato partecipa attivamente all’assistenza </w:t>
            </w:r>
            <w:proofErr w:type="gramStart"/>
            <w:r>
              <w:rPr>
                <w:b/>
              </w:rPr>
              <w:t>ed</w:t>
            </w:r>
            <w:proofErr w:type="gramEnd"/>
            <w:r>
              <w:rPr>
                <w:b/>
              </w:rPr>
              <w:t xml:space="preserve"> alla rieducazione. La sua famiglia è coinvolta nell’educazione </w:t>
            </w:r>
            <w:proofErr w:type="gramStart"/>
            <w:r>
              <w:rPr>
                <w:b/>
              </w:rPr>
              <w:t>sanitaria</w:t>
            </w:r>
            <w:proofErr w:type="gramEnd"/>
          </w:p>
        </w:tc>
        <w:tc>
          <w:tcPr>
            <w:tcW w:w="2138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riceve assistenza adeguata rispetto ai suoi bisogni.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malato riceve assistenza essenziale. Non subisce alcun danno.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malato subisce danni fisici (lesioni da decubito, contratture, incidenti, ecc.) il suo aspetto esteriore è trascurato.</w:t>
            </w:r>
          </w:p>
        </w:tc>
      </w:tr>
      <w:tr w:rsidR="001D78DF" w:rsidTr="00332EDB">
        <w:trPr>
          <w:trHeight w:val="240"/>
        </w:trPr>
        <w:tc>
          <w:tcPr>
            <w:tcW w:w="1771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Assistenza terapeutica</w:t>
            </w:r>
          </w:p>
        </w:tc>
        <w:tc>
          <w:tcPr>
            <w:tcW w:w="2127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comprende il senso e lo scopo del trattamento, dà il suo accordo e collabora. E’ preparato a proseguire il trattamento da solo o con l’aiuto di chi gli sta accanto.</w:t>
            </w:r>
          </w:p>
        </w:tc>
        <w:tc>
          <w:tcPr>
            <w:tcW w:w="2138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 xml:space="preserve">Il malato è informato sul trattamento in corso e, </w:t>
            </w:r>
            <w:proofErr w:type="gramStart"/>
            <w:r>
              <w:rPr>
                <w:b/>
              </w:rPr>
              <w:t>successivamente</w:t>
            </w:r>
            <w:proofErr w:type="gramEnd"/>
            <w:r>
              <w:rPr>
                <w:b/>
              </w:rPr>
              <w:t>, riceve il sostegno e la sorveglianza necessari. L’assistenza è individualizzata.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riceve assistenza corretta ma essenzialmente dettata dalla routine ospedaliera. Egli non subisce danni.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riceve un trattamento che comporta lacune ed errori e soffre complicazioni evitabili.</w:t>
            </w:r>
          </w:p>
        </w:tc>
      </w:tr>
      <w:tr w:rsidR="001D78DF" w:rsidTr="00332EDB">
        <w:trPr>
          <w:trHeight w:val="240"/>
        </w:trPr>
        <w:tc>
          <w:tcPr>
            <w:tcW w:w="1771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Considerazione dei bisogni psichici e sociali</w:t>
            </w:r>
          </w:p>
        </w:tc>
        <w:tc>
          <w:tcPr>
            <w:tcW w:w="2127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trae un’esperienza utile dal suo soggiorno in ospedale. Ha acquisito un modo di vita adatto al suo stato, che gli consente di mantenersi in salute o di prepararsi alla morte.</w:t>
            </w:r>
          </w:p>
        </w:tc>
        <w:tc>
          <w:tcPr>
            <w:tcW w:w="2138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 xml:space="preserve">Grazie ad un clima di confidenza, il paziente può esprimere i suoi bisogni, si sente compreso </w:t>
            </w:r>
            <w:proofErr w:type="gramStart"/>
            <w:r>
              <w:rPr>
                <w:b/>
              </w:rPr>
              <w:t>ed</w:t>
            </w:r>
            <w:proofErr w:type="gramEnd"/>
            <w:r>
              <w:rPr>
                <w:b/>
              </w:rPr>
              <w:t xml:space="preserve"> accettato. Ha la possibilità di mantenere i contatti con l’esterno dell’ospedale.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deve conformarsi ai regolamenti dell’ospedale non è assistito nella sua preoccupazione per la vita o per la morte.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è traumatizzato psichicamente: angosce, regressioni, reazioni allo stress, tende all’isolamento.</w:t>
            </w:r>
          </w:p>
        </w:tc>
      </w:tr>
      <w:tr w:rsidR="001D78DF" w:rsidTr="00332EDB">
        <w:trPr>
          <w:trHeight w:val="240"/>
        </w:trPr>
        <w:tc>
          <w:tcPr>
            <w:tcW w:w="1771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Comunicazione</w:t>
            </w:r>
          </w:p>
        </w:tc>
        <w:tc>
          <w:tcPr>
            <w:tcW w:w="2127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riceve consigli adeguati che gli consentono di progredire grazie ad una relazione terapeutica con il personale sanitario.</w:t>
            </w:r>
          </w:p>
        </w:tc>
        <w:tc>
          <w:tcPr>
            <w:tcW w:w="2138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beneficia di relazioni interpersonali autentiche che favoriscono il dialogo e lo scambio di opinioni.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riceve informazioni stereotipate determinate dalla routine ospedaliera.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Il paziente non riceve informazioni e non ha la possibilità di far intendere la sua opinione.</w:t>
            </w:r>
          </w:p>
        </w:tc>
      </w:tr>
      <w:tr w:rsidR="001D78DF" w:rsidTr="00332EDB">
        <w:trPr>
          <w:trHeight w:val="240"/>
        </w:trPr>
        <w:tc>
          <w:tcPr>
            <w:tcW w:w="1771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Pianificazione dell’assistenza e trasmissione delle informazioni</w:t>
            </w:r>
          </w:p>
        </w:tc>
        <w:tc>
          <w:tcPr>
            <w:tcW w:w="2127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 xml:space="preserve">Il paziente e la sua famiglia partecipano alla pianificazione del trattamento e dell’assistenza. La collaborazione </w:t>
            </w:r>
            <w:proofErr w:type="gramStart"/>
            <w:r>
              <w:rPr>
                <w:b/>
              </w:rPr>
              <w:t>interdisciplinare</w:t>
            </w:r>
            <w:proofErr w:type="gramEnd"/>
            <w:r>
              <w:rPr>
                <w:b/>
              </w:rPr>
              <w:t xml:space="preserve"> è garantita all’ospedale e fuori di esso. </w:t>
            </w:r>
          </w:p>
        </w:tc>
        <w:tc>
          <w:tcPr>
            <w:tcW w:w="2138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proofErr w:type="gramStart"/>
            <w:r>
              <w:rPr>
                <w:b/>
              </w:rPr>
              <w:t>Viene</w:t>
            </w:r>
            <w:proofErr w:type="gramEnd"/>
            <w:r>
              <w:rPr>
                <w:b/>
              </w:rPr>
              <w:t xml:space="preserve"> utilizzato un piano di assistenza, modificato a seconda dei bisogni. L’équipe sanitaria ha dei colloqui regolari.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La trasmissione delle informazioni è garantita da relazioni precise.</w:t>
            </w:r>
          </w:p>
        </w:tc>
        <w:tc>
          <w:tcPr>
            <w:tcW w:w="2012" w:type="dxa"/>
          </w:tcPr>
          <w:p w:rsidR="001D78DF" w:rsidRDefault="001D78DF" w:rsidP="00332EDB">
            <w:pPr>
              <w:pStyle w:val="Testonotaapidipagina"/>
              <w:jc w:val="both"/>
              <w:rPr>
                <w:b/>
              </w:rPr>
            </w:pPr>
            <w:r>
              <w:rPr>
                <w:b/>
              </w:rPr>
              <w:t>La trasmissione delle informazioni è insufficiente.</w:t>
            </w:r>
          </w:p>
        </w:tc>
      </w:tr>
    </w:tbl>
    <w:p w:rsidR="001D78DF" w:rsidRDefault="001D78DF" w:rsidP="001D78DF">
      <w:pPr>
        <w:pStyle w:val="Testonotaapidipagina"/>
        <w:spacing w:line="360" w:lineRule="auto"/>
        <w:jc w:val="both"/>
        <w:rPr>
          <w:b/>
          <w:sz w:val="24"/>
        </w:rPr>
      </w:pPr>
    </w:p>
    <w:p w:rsidR="001D78DF" w:rsidRDefault="001D78DF"/>
    <w:sectPr w:rsidR="001D7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46" w:rsidRDefault="00DF7C46" w:rsidP="001D78DF">
      <w:r>
        <w:separator/>
      </w:r>
    </w:p>
  </w:endnote>
  <w:endnote w:type="continuationSeparator" w:id="0">
    <w:p w:rsidR="00DF7C46" w:rsidRDefault="00DF7C46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89" w:rsidRDefault="003928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 w:rsidP="001D78DF">
    <w:pPr>
      <w:pStyle w:val="Pidipagina"/>
      <w:tabs>
        <w:tab w:val="clear" w:pos="9638"/>
        <w:tab w:val="left" w:pos="11482"/>
      </w:tabs>
      <w:ind w:right="141"/>
      <w:rPr>
        <w:strike/>
      </w:rPr>
    </w:pPr>
  </w:p>
  <w:p w:rsidR="001D78DF" w:rsidRPr="00A43B4A" w:rsidRDefault="001D78DF" w:rsidP="001D78DF">
    <w:pPr>
      <w:pStyle w:val="Pidipagina"/>
      <w:tabs>
        <w:tab w:val="clear" w:pos="9638"/>
        <w:tab w:val="left" w:pos="11482"/>
      </w:tabs>
      <w:ind w:right="141"/>
      <w:rPr>
        <w:b/>
        <w:smallCaps/>
      </w:rPr>
    </w:pPr>
    <w:r w:rsidRPr="00A43B4A">
      <w:rPr>
        <w:b/>
        <w:smallCaps/>
      </w:rPr>
      <w:t>USC Direzione Professioni Sanitarie - Area Rice</w:t>
    </w:r>
    <w:r w:rsidR="00A43B4A" w:rsidRPr="00A43B4A">
      <w:rPr>
        <w:b/>
        <w:smallCaps/>
      </w:rPr>
      <w:t>rca, Formazione e Sviluppo</w:t>
    </w:r>
    <w:proofErr w:type="gramStart"/>
    <w:r w:rsidR="00A43B4A" w:rsidRPr="00A43B4A">
      <w:rPr>
        <w:b/>
        <w:smallCaps/>
      </w:rPr>
      <w:t xml:space="preserve">     </w:t>
    </w:r>
    <w:proofErr w:type="gramEnd"/>
  </w:p>
  <w:p w:rsidR="001D78DF" w:rsidRPr="00A43B4A" w:rsidRDefault="001D78DF" w:rsidP="00A43B4A">
    <w:pPr>
      <w:tabs>
        <w:tab w:val="left" w:pos="3402"/>
      </w:tabs>
      <w:rPr>
        <w:b/>
        <w:smallCaps/>
      </w:rPr>
    </w:pPr>
    <w:r w:rsidRPr="00A43B4A">
      <w:rPr>
        <w:b/>
        <w:smallCaps/>
      </w:rPr>
      <w:t xml:space="preserve">Cod. </w:t>
    </w:r>
    <w:r w:rsidR="00203C28" w:rsidRPr="00A43B4A">
      <w:rPr>
        <w:b/>
        <w:smallCaps/>
      </w:rPr>
      <w:t>All01</w:t>
    </w:r>
    <w:r w:rsidRPr="00A43B4A">
      <w:rPr>
        <w:b/>
        <w:smallCaps/>
      </w:rPr>
      <w:t>RevLettDPSRFS01 “</w:t>
    </w:r>
    <w:r w:rsidR="00203C28" w:rsidRPr="00A43B4A">
      <w:rPr>
        <w:b/>
        <w:smallCaps/>
      </w:rPr>
      <w:t xml:space="preserve">Caratteristiche dei diversi livelli di qualità </w:t>
    </w:r>
    <w:proofErr w:type="gramStart"/>
    <w:r w:rsidR="00203C28" w:rsidRPr="00A43B4A">
      <w:rPr>
        <w:b/>
        <w:smallCaps/>
      </w:rPr>
      <w:t>dell’</w:t>
    </w:r>
    <w:proofErr w:type="gramEnd"/>
    <w:r w:rsidR="00203C28" w:rsidRPr="00A43B4A">
      <w:rPr>
        <w:b/>
        <w:smallCaps/>
      </w:rPr>
      <w:t>assistenza infermieristica.</w:t>
    </w:r>
    <w:r w:rsidR="00A43B4A">
      <w:rPr>
        <w:b/>
        <w:smallCaps/>
      </w:rPr>
      <w:t xml:space="preserve">” </w:t>
    </w: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r w:rsidRPr="00A43B4A">
      <w:rPr>
        <w:b/>
        <w:smallCaps/>
      </w:rPr>
      <w:t xml:space="preserve">Pag.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31569C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</w:t>
    </w:r>
    <w:r w:rsidR="0031569C">
      <w:rPr>
        <w:b/>
        <w:smallCaps/>
      </w:rPr>
      <w:t>1</w:t>
    </w:r>
    <w:bookmarkStart w:id="2" w:name="_GoBack"/>
    <w:bookmarkEnd w:id="2"/>
  </w:p>
  <w:p w:rsidR="001D78DF" w:rsidRPr="00A43B4A" w:rsidRDefault="001D78DF" w:rsidP="001D78DF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</w:rPr>
    </w:pPr>
    <w:r w:rsidRPr="00A43B4A">
      <w:rPr>
        <w:b/>
        <w:smallCaps/>
      </w:rPr>
      <w:t>Data 04/12/2015</w:t>
    </w:r>
    <w:proofErr w:type="gramStart"/>
    <w:r w:rsidRPr="00A43B4A">
      <w:rPr>
        <w:b/>
        <w:smallCaps/>
      </w:rPr>
      <w:t xml:space="preserve"> </w:t>
    </w:r>
    <w:r w:rsidR="00392889">
      <w:rPr>
        <w:b/>
        <w:smallCaps/>
      </w:rPr>
      <w:t xml:space="preserve"> </w:t>
    </w:r>
    <w:r w:rsidRPr="00A43B4A">
      <w:rPr>
        <w:b/>
        <w:smallCaps/>
      </w:rPr>
      <w:t xml:space="preserve"> </w:t>
    </w:r>
    <w:proofErr w:type="gramEnd"/>
    <w:r w:rsidRPr="00A43B4A">
      <w:rPr>
        <w:b/>
        <w:smallCaps/>
      </w:rPr>
      <w:t xml:space="preserve">Rev.01 </w:t>
    </w:r>
  </w:p>
  <w:p w:rsidR="001D78DF" w:rsidRPr="00A43B4A" w:rsidRDefault="001D78DF">
    <w:pPr>
      <w:pStyle w:val="Pidipagina"/>
      <w:rPr>
        <w:b/>
        <w:smallCap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89" w:rsidRDefault="003928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46" w:rsidRDefault="00DF7C46" w:rsidP="001D78DF">
      <w:r>
        <w:separator/>
      </w:r>
    </w:p>
  </w:footnote>
  <w:footnote w:type="continuationSeparator" w:id="0">
    <w:p w:rsidR="00DF7C46" w:rsidRDefault="00DF7C46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89" w:rsidRDefault="0039288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2C43ED82" wp14:editId="44FB5D0F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89" w:rsidRDefault="003928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1D78DF"/>
    <w:rsid w:val="00203C28"/>
    <w:rsid w:val="0031569C"/>
    <w:rsid w:val="00392889"/>
    <w:rsid w:val="00666B19"/>
    <w:rsid w:val="00A43B4A"/>
    <w:rsid w:val="00D90433"/>
    <w:rsid w:val="00DF7C46"/>
    <w:rsid w:val="00E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DAMINELLI MARINELLA LOREDANA</cp:lastModifiedBy>
  <cp:revision>2</cp:revision>
  <dcterms:created xsi:type="dcterms:W3CDTF">2016-01-15T10:24:00Z</dcterms:created>
  <dcterms:modified xsi:type="dcterms:W3CDTF">2016-01-15T10:24:00Z</dcterms:modified>
</cp:coreProperties>
</file>